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0BCB" w:rsidRPr="004904D1" w:rsidRDefault="00A10BCB" w:rsidP="00A10BCB">
      <w:pPr>
        <w:pStyle w:val="NoSpacing"/>
        <w:rPr>
          <w:rStyle w:val="Strong"/>
          <w:rFonts w:ascii="Times New Roman" w:hAnsi="Times New Roman" w:cs="Times New Roman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Лекция 3. Структурные схемы радиорелейных станций</w:t>
      </w:r>
    </w:p>
    <w:p w:rsidR="00A10BCB" w:rsidRPr="004904D1" w:rsidRDefault="00A10BCB" w:rsidP="00A10BCB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hyperlink r:id="rId5" w:anchor="3.1" w:history="1">
        <w:r w:rsidRPr="004904D1">
          <w:rPr>
            <w:rStyle w:val="Strong"/>
            <w:rFonts w:ascii="Times New Roman" w:hAnsi="Times New Roman" w:cs="Times New Roman"/>
            <w:sz w:val="24"/>
            <w:szCs w:val="24"/>
          </w:rPr>
          <w:t>3.1. Состав оборудования</w:t>
        </w:r>
      </w:hyperlink>
    </w:p>
    <w:p w:rsidR="00A10BCB" w:rsidRPr="004904D1" w:rsidRDefault="00A10BCB" w:rsidP="00A10BCB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hyperlink r:id="rId6" w:anchor="3.2" w:history="1">
        <w:r w:rsidRPr="004904D1">
          <w:rPr>
            <w:rStyle w:val="Strong"/>
            <w:rFonts w:ascii="Times New Roman" w:hAnsi="Times New Roman" w:cs="Times New Roman"/>
            <w:sz w:val="24"/>
            <w:szCs w:val="24"/>
          </w:rPr>
          <w:t>3.2. Промежуточные радиорелейные станции аналоговых РРЛ</w:t>
        </w:r>
      </w:hyperlink>
    </w:p>
    <w:p w:rsidR="00A10BCB" w:rsidRPr="004904D1" w:rsidRDefault="00A10BCB" w:rsidP="00A10BCB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hyperlink r:id="rId7" w:anchor="3.3" w:history="1">
        <w:r w:rsidRPr="004904D1">
          <w:rPr>
            <w:rStyle w:val="Strong"/>
            <w:rFonts w:ascii="Times New Roman" w:hAnsi="Times New Roman" w:cs="Times New Roman"/>
            <w:sz w:val="24"/>
            <w:szCs w:val="24"/>
          </w:rPr>
          <w:t>3.3. Узловые и оконечные радиорелейные станции аналоговых РРЛ</w:t>
        </w:r>
      </w:hyperlink>
    </w:p>
    <w:p w:rsidR="00A10BCB" w:rsidRPr="004904D1" w:rsidRDefault="00A10BCB" w:rsidP="00A10BCB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A10BCB" w:rsidRPr="004904D1" w:rsidRDefault="00A10BCB" w:rsidP="00A10BCB">
      <w:pPr>
        <w:pStyle w:val="NoSpacing"/>
        <w:rPr>
          <w:rStyle w:val="Strong"/>
          <w:rFonts w:ascii="Times New Roman" w:hAnsi="Times New Roman" w:cs="Times New Roman"/>
          <w:sz w:val="24"/>
          <w:szCs w:val="24"/>
        </w:rPr>
      </w:pPr>
      <w:bookmarkStart w:id="0" w:name="3.1"/>
      <w:bookmarkEnd w:id="0"/>
      <w:r w:rsidRPr="004904D1">
        <w:rPr>
          <w:rStyle w:val="Strong"/>
          <w:rFonts w:ascii="Times New Roman" w:hAnsi="Times New Roman" w:cs="Times New Roman"/>
          <w:sz w:val="24"/>
          <w:szCs w:val="24"/>
        </w:rPr>
        <w:t>3.1. Состав оборудования</w:t>
      </w:r>
    </w:p>
    <w:p w:rsidR="00A10BCB" w:rsidRPr="004904D1" w:rsidRDefault="00A10BCB" w:rsidP="00A10BCB">
      <w:pPr>
        <w:pStyle w:val="NoSpacing"/>
        <w:ind w:firstLine="708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Аппаратуру любой современной радиорелейной системы для магистральной РРЛ подразделяют на следующие группы: 1) антенна и АФТ, 2) приемопередающая СВЧ аппаратура, 3) модемы, 4) вспомогательное оборудование.</w:t>
      </w:r>
    </w:p>
    <w:p w:rsidR="00A10BCB" w:rsidRPr="004904D1" w:rsidRDefault="00A10BCB" w:rsidP="00A10BCB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Приемопередающую СВЧ аппаратуру часто выполняют конструктивно в виде отдельных СВЧ стоек: стойки приемников и стойки передатчиков. В каждой стойке размещают несколько таких устройств для организации многоствольной РРЛ. Существуют и другие конструктивные решения, например, объединение СВЧ приемника и СВЧ передатчика в одной стойке или установка их на вертикальных стативах.</w:t>
      </w:r>
    </w:p>
    <w:p w:rsidR="00A10BCB" w:rsidRPr="004904D1" w:rsidRDefault="00A10BCB" w:rsidP="00A10BCB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В состав стойки модема входит несколько модуляторов и демодуляторов, устройства их резервирования, оконечные устройства ТФ и ТВ стволов.</w:t>
      </w:r>
    </w:p>
    <w:p w:rsidR="00A10BCB" w:rsidRPr="004904D1" w:rsidRDefault="00A10BCB" w:rsidP="00A10BCB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Вспомогательное оборудование в свою очередь содержит аппаратуру резервирования, служебной связи, телеобслуживания, гарантированного электропитания, осушки АФТ.</w:t>
      </w:r>
    </w:p>
    <w:p w:rsidR="00A10BCB" w:rsidRPr="004904D1" w:rsidRDefault="00A10BCB" w:rsidP="00A10BCB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Важно отметить, что в таких радиорелейных системах модулятор конструктивно отделен от СВЧ передатчика (демодулятор - от СВЧ приемника), а между собой они соединены по ПЧ. Соединение между приемником СВЧ и передатчиком СВЧ на ПРС также выполнено по ПЧ. Такое конструктивное решение позволяет комплектовать все станции одной магистральной РРЛ типовыми СВЧ стойками.</w:t>
      </w:r>
    </w:p>
    <w:p w:rsidR="00A10BCB" w:rsidRPr="004904D1" w:rsidRDefault="00A10BCB" w:rsidP="00A10BCB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Принятое подразделение аппаратуры РРЛ на группы оказалось также удобным при создании комплекса унифицированных радиорелейных систем. Такой комплекс, как правило, содержит набор аппаратуры, позволяющий построить ряд РРЛ, работающих в нескольких диапазонах частот, причем для всех систем одинакова так называемая унифицированная аппаратура: модемы и вспомогательное оборудование. Для каждого рабочего диапазона разработана своя приемопередающая СВЧ аппаратура, а антенны и АФТ имеют свои особенности. Примером является отечественный комплекс унифицированных радиорелейных систем (КУРС), позволяющий организовать РРЛ в диапазонах 2, 4, 6, 8 ГГц. Переход от разработки и эксплуатации отдельных радиорелейных систем к комплексу унифицированных радиорелейных систем имеет ряд существенных достоинств. К ним относятся снижение издержек производства и стоимости хранения аппаратуры за счет унификации узлов, улучшение обслуживания и др.</w:t>
      </w:r>
    </w:p>
    <w:p w:rsidR="00A10BCB" w:rsidRPr="004904D1" w:rsidRDefault="00A10BCB" w:rsidP="00A10BCB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Состав оборудования АРРС, предназначенных для работы в зоновой сети, может быть таким же, как и для магистральных РРЛ. Так, например, скомплектованы системы КУРС-2 и КУРС-8.</w:t>
      </w:r>
    </w:p>
    <w:p w:rsidR="00A10BCB" w:rsidRDefault="00A10BCB" w:rsidP="00A10BCB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 xml:space="preserve">В связи с ростом темпов телефонизации в стране уделяется все больше внимания созданию специальных АРРС и ЦРРС для внутризоновых и местных телефонных РРЛ. На таких РРЛ, в отличие от магистральных, организуют сравнительно небольшое число каналов. Однако здесь должно быть предусмотрено выделение и введение ТФ каналов на каждой РРС. Кроме того, очень важно, чтобы аппаратура имела малую потребляемую мощность, была дешевой и простой в обслуживании. Поэтому в таких системах обычно приемник и демодулятор, а также передатчик СВЧ и модулятор не разделяют конструктивно, и часто эти устройства объединяют в одном корпусе. Обычно такие РРЛ бывают одно- и двухствольными, без резервных стволов. На зоновых сетях кроме АРРС с ЧМ широко используют ЦРРС. Аппаратура ЦРРС имеет малые габариты, и часто приемопередающее оборудование вместе с 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lastRenderedPageBreak/>
        <w:t>модулятором и демодулятором размещают в корпусе, который крепят к антенной опоре рядом с антенной.</w:t>
      </w:r>
    </w:p>
    <w:p w:rsidR="00A10BCB" w:rsidRPr="004904D1" w:rsidRDefault="00A10BCB" w:rsidP="00A10BCB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A10BCB" w:rsidRPr="00BF6984" w:rsidRDefault="00A10BCB" w:rsidP="00A10BCB">
      <w:pPr>
        <w:pStyle w:val="NoSpacing"/>
        <w:rPr>
          <w:rStyle w:val="Strong"/>
          <w:rFonts w:ascii="Times New Roman" w:hAnsi="Times New Roman" w:cs="Times New Roman"/>
          <w:sz w:val="24"/>
          <w:szCs w:val="24"/>
        </w:rPr>
      </w:pPr>
      <w:bookmarkStart w:id="1" w:name="3.2"/>
      <w:bookmarkEnd w:id="1"/>
      <w:r w:rsidRPr="00BF6984">
        <w:rPr>
          <w:rStyle w:val="Strong"/>
          <w:rFonts w:ascii="Times New Roman" w:hAnsi="Times New Roman" w:cs="Times New Roman"/>
          <w:sz w:val="24"/>
          <w:szCs w:val="24"/>
        </w:rPr>
        <w:t>3.2. Промежуточные РРС аналоговых РРЛ</w:t>
      </w:r>
    </w:p>
    <w:p w:rsidR="00A10BCB" w:rsidRPr="004904D1" w:rsidRDefault="00A10BCB" w:rsidP="00A10BCB">
      <w:pPr>
        <w:pStyle w:val="NoSpacing"/>
        <w:ind w:firstLine="708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В соответствии со схемой преобразования сигнала различают следующие схемы ПРС: гетеродинного типа, с однократным преобразованием частоты, с демодуляцией сигнала.</w:t>
      </w:r>
    </w:p>
    <w:p w:rsidR="00A10BCB" w:rsidRPr="004904D1" w:rsidRDefault="00A10BCB" w:rsidP="00A10BCB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На магистральных РРЛ с ЧМ, как правило, применяют схемы гетеродинного типа, поскольку они обладают эксплуатационной гибкостью, что позволяет комплектовать ПРС, ОРС и УРС типовыми приемниками СВЧ и передатчиками СВЧ и организовывать универсальные ВЧ стволы. Как правило, на таких РРЛ применяют ЧМ. Две другие схемы ПРС нашли применение на внутризоновых и местных РРЛ. Промежуточные РРС гетеродинного типа выполняют по схемам с отдельными гетеродинными трактами (ГТ) или с общим ГТ.</w:t>
      </w:r>
    </w:p>
    <w:p w:rsidR="00A10BCB" w:rsidRPr="004904D1" w:rsidRDefault="00A10BCB" w:rsidP="00A10BCB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Структурная схема ПРС гетеродинного типа с отдельными гетеродинными трактами.Рассмотрим по рис. 3.1 прохождение сигнала одного ствола со средней частотой f1. Этот сигнал выделяют РФ Z1 и ПФ Z2. С выхода ПФ сигнал поступает на смеситель приемника UZ1, в котором частота f1 понижается до промежуточной fПР. Затем модулированные колебания ПЧ усиливаются в УПЧ А1 и поступают на выход Пр в т. а. Между СВЧ приемником и СВЧ передатчиком устанавливают перемычку ab. Сигнал, поступающий на вход П в т. b, усиливается в МУПЧ - мощном УПЧ А2 до уровня, необходимого для нормальной работы смесителя передатчика UZ2. В UZ2 колебания ПЧ преобразуются в колебания СВЧ, среди которых есть и колебания со средней частотой f2. На вторые входы смесителей поступают немодулированные СВЧ колебания от независимых гетеродинных трактов приемника G1 и передатчика G2 с частотами f01 и f02 соответственно. Поскольку на выходе смесителя получается богатый спектр колебаний, то там необходимо устанавливать ПФ, выделяющий рабочую полосу частот. Поэтому на выходе UZ2 установлен фильтр боковой полосы (ФБП) Z3. В приемнике СВЧ аналогичную функцию выполняет фильтр сосредоточенной селекции УПЧ.</w:t>
      </w:r>
    </w:p>
    <w:p w:rsidR="00A10BCB" w:rsidRPr="004904D1" w:rsidRDefault="00A10BCB" w:rsidP="00A10BCB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 wp14:anchorId="3F1A1AB1" wp14:editId="677EDA74">
            <wp:simplePos x="0" y="0"/>
            <wp:positionH relativeFrom="column">
              <wp:posOffset>-3810</wp:posOffset>
            </wp:positionH>
            <wp:positionV relativeFrom="paragraph">
              <wp:posOffset>0</wp:posOffset>
            </wp:positionV>
            <wp:extent cx="3599815" cy="1374775"/>
            <wp:effectExtent l="0" t="0" r="635" b="0"/>
            <wp:wrapTight wrapText="bothSides">
              <wp:wrapPolygon edited="0">
                <wp:start x="0" y="0"/>
                <wp:lineTo x="0" y="21251"/>
                <wp:lineTo x="21490" y="21251"/>
                <wp:lineTo x="21490" y="0"/>
                <wp:lineTo x="0" y="0"/>
              </wp:wrapPolygon>
            </wp:wrapTight>
            <wp:docPr id="1" name="Picture 1" descr="Рисунок 3.1. Структурная схема ПРС с усилением по ПЧ и отдельными гетеродинами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 descr="Рисунок 3.1. Структурная схема ПРС с усилением по ПЧ и отдельными гетеродинами 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137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br/>
        <w:t>Рисунок 3.1. Структурная схема ПРС с усилением по ПЧ и отдельными гетеродинами</w:t>
      </w:r>
    </w:p>
    <w:p w:rsidR="00A10BCB" w:rsidRPr="004904D1" w:rsidRDefault="00A10BCB" w:rsidP="00A10BCB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На выходе UZ2 будут колебания, частоты которых отвечают условию</w:t>
      </w:r>
    </w:p>
    <w:p w:rsidR="00A10BCB" w:rsidRPr="004904D1" w:rsidRDefault="00A10BCB" w:rsidP="00A10BCB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088F9266" wp14:editId="06F00902">
            <wp:extent cx="1114425" cy="228600"/>
            <wp:effectExtent l="0" t="0" r="9525" b="0"/>
            <wp:docPr id="2" name="Picture 2" descr="https://siblec.ru/img/53/img/Image19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 descr="https://siblec.ru/img/53/img/Image195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 (3.1)</w:t>
      </w:r>
    </w:p>
    <w:p w:rsidR="00A10BCB" w:rsidRPr="004904D1" w:rsidRDefault="00A10BCB" w:rsidP="00A10BCB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где m и n — целые числа.</w:t>
      </w:r>
    </w:p>
    <w:p w:rsidR="00A10BCB" w:rsidRPr="004904D1" w:rsidRDefault="00A10BCB" w:rsidP="00A10BCB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Фильтр боковой полосы пропускает колебания со средней частотой</w:t>
      </w:r>
    </w:p>
    <w:p w:rsidR="00A10BCB" w:rsidRPr="004904D1" w:rsidRDefault="00A10BCB" w:rsidP="00A10BCB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41963CD0" wp14:editId="3BA7BC0C">
            <wp:extent cx="857250" cy="228600"/>
            <wp:effectExtent l="0" t="0" r="0" b="0"/>
            <wp:docPr id="3" name="Picture 3" descr="https://siblec.ru/img/53/img/Image19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 descr="https://siblec.ru/img/53/img/Image196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 (3.2 а)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br/>
        <w:t>или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br/>
      </w: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2CE5F2F3" wp14:editId="0CA61EE9">
            <wp:extent cx="857250" cy="228600"/>
            <wp:effectExtent l="0" t="0" r="0" b="0"/>
            <wp:docPr id="4" name="Picture 4" descr="https://siblec.ru/img/53/img/Image19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 descr="https://siblec.ru/img/53/img/Image197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 (3.2 б)</w:t>
      </w:r>
    </w:p>
    <w:p w:rsidR="00A10BCB" w:rsidRPr="004904D1" w:rsidRDefault="00A10BCB" w:rsidP="00A10BCB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и полосой, определяемой шириной спектра модулированного сигнала ПЧ.</w:t>
      </w:r>
    </w:p>
    <w:p w:rsidR="00A10BCB" w:rsidRPr="004904D1" w:rsidRDefault="00A10BCB" w:rsidP="00A10BCB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Знак в формуле (3.2) определяется типом станции и расстановкой частот приема, передачи и гетеродинных трактов. Возможны четыре варианта расстановки частот (рис. 3.2), где также указан выбор знака в (3.2).</w:t>
      </w:r>
    </w:p>
    <w:p w:rsidR="00A10BCB" w:rsidRPr="004904D1" w:rsidRDefault="00A10BCB" w:rsidP="00A10BCB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lastRenderedPageBreak/>
        <w:t>Усилитель мощности (УМ) A3 усиливает сигнал СВЧ, выделенный ФБП, обеспечивая номинальную выходную мощность. Если ее значение не превышает нескольких сотен милливатт, то УМ обычно не устанавливают.</w:t>
      </w:r>
    </w:p>
    <w:p w:rsidR="00A10BCB" w:rsidRPr="004904D1" w:rsidRDefault="00A10BCB" w:rsidP="00A10BCB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anchor distT="0" distB="0" distL="114300" distR="114300" simplePos="0" relativeHeight="251660288" behindDoc="1" locked="0" layoutInCell="1" allowOverlap="1" wp14:anchorId="5BFC80D2" wp14:editId="00E6F0A1">
            <wp:simplePos x="0" y="0"/>
            <wp:positionH relativeFrom="column">
              <wp:posOffset>-3810</wp:posOffset>
            </wp:positionH>
            <wp:positionV relativeFrom="paragraph">
              <wp:posOffset>-1270</wp:posOffset>
            </wp:positionV>
            <wp:extent cx="3599815" cy="903605"/>
            <wp:effectExtent l="0" t="0" r="635" b="0"/>
            <wp:wrapTight wrapText="bothSides">
              <wp:wrapPolygon edited="0">
                <wp:start x="0" y="0"/>
                <wp:lineTo x="0" y="20947"/>
                <wp:lineTo x="21490" y="20947"/>
                <wp:lineTo x="21490" y="0"/>
                <wp:lineTo x="0" y="0"/>
              </wp:wrapPolygon>
            </wp:wrapTight>
            <wp:docPr id="5" name="Picture 5" descr="Рисунок 3.2. Варианты расстановки частот для РРС типа НВ при f1&lt;f01 (а), f1&gt;f01 (б), для РРС типа ВН при f1&lt;f01 (в) f1&gt;f01 (г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 descr="Рисунок 3.2. Варианты расстановки частот для РРС типа НВ при f1&lt;f01 (а), f1&gt;f01 (б), для РРС типа ВН при f1&lt;f01 (в) f1&gt;f01 (г)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903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10BCB" w:rsidRPr="004904D1" w:rsidRDefault="00A10BCB" w:rsidP="00A10BCB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Рисунок 3.2. Варианты расстановки частот для РРС типа НВ при f1&lt;f01 (а), f1&gt;f01 (б), для РРС типа ВН при f1&lt;f01 (в) f1&gt;f01 (г)</w:t>
      </w:r>
    </w:p>
    <w:p w:rsidR="00A10BCB" w:rsidRPr="004904D1" w:rsidRDefault="00A10BCB" w:rsidP="00A10BCB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Найдем нестабильность частоты, вносимую ПРС. Для определенности будем рассматривать ПРС с расстановкой частот, приведенной на рис. 3.2,а, для которой</w:t>
      </w:r>
    </w:p>
    <w:p w:rsidR="00A10BCB" w:rsidRPr="004904D1" w:rsidRDefault="00A10BCB" w:rsidP="00A10BCB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f2=f02-fПР=f02-(f01-f1)</w:t>
      </w:r>
    </w:p>
    <w:p w:rsidR="00A10BCB" w:rsidRPr="004904D1" w:rsidRDefault="00A10BCB" w:rsidP="00A10BCB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Поскольку G1 и G2 независимы, отклонение частоты на выходе ПРС от номинального значения</w:t>
      </w:r>
    </w:p>
    <w:p w:rsidR="00A10BCB" w:rsidRPr="004904D1" w:rsidRDefault="00A10BCB" w:rsidP="00A10BCB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36A9F906" wp14:editId="31C33F49">
            <wp:extent cx="1409700" cy="304800"/>
            <wp:effectExtent l="0" t="0" r="0" b="0"/>
            <wp:docPr id="6" name="Picture 6" descr="https://siblec.ru/img/53/img/Image19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 descr="https://siblec.ru/img/53/img/Image199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0BCB" w:rsidRPr="004904D1" w:rsidRDefault="00A10BCB" w:rsidP="00A10BCB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где </w:t>
      </w: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2A5FAC3C" wp14:editId="335F5609">
            <wp:extent cx="200025" cy="247650"/>
            <wp:effectExtent l="0" t="0" r="9525" b="0"/>
            <wp:docPr id="7" name="Picture 7" descr="https://siblec.ru/img/53/img/Image2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 descr="https://siblec.ru/img/53/img/Image200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 - абсолютная нестабильность частоты входного сигнала; </w:t>
      </w: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6B7461BF" wp14:editId="6AD6CB5A">
            <wp:extent cx="238125" cy="247650"/>
            <wp:effectExtent l="0" t="0" r="9525" b="0"/>
            <wp:docPr id="8" name="Picture 8" descr="https://siblec.ru/img/53/img/Image2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 descr="https://siblec.ru/img/53/img/Image201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 и </w:t>
      </w: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4D443C59" wp14:editId="4DCBF786">
            <wp:extent cx="238125" cy="247650"/>
            <wp:effectExtent l="0" t="0" r="9525" b="0"/>
            <wp:docPr id="9" name="Picture 9" descr="https://siblec.ru/img/53/img/Image2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 descr="https://siblec.ru/img/53/img/Image202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- абсолютные нестабильности частот на выходах G1 и G2.</w:t>
      </w:r>
    </w:p>
    <w:p w:rsidR="00A10BCB" w:rsidRPr="004904D1" w:rsidRDefault="00A10BCB" w:rsidP="00A10BCB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Вследствие того, что частоты f02 и f01 одного порядка и ГТ выполняют по аналогичным схемам, можно считать </w:t>
      </w: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24E3BDAD" wp14:editId="4FF06233">
            <wp:extent cx="238125" cy="247650"/>
            <wp:effectExtent l="0" t="0" r="9525" b="0"/>
            <wp:docPr id="10" name="Picture 10" descr="https://siblec.ru/img/53/img/Image2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 descr="https://siblec.ru/img/53/img/Image201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=</w:t>
      </w: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53F41BE3" wp14:editId="56DEB9BE">
            <wp:extent cx="238125" cy="247650"/>
            <wp:effectExtent l="0" t="0" r="9525" b="0"/>
            <wp:docPr id="11" name="Picture 11" descr="https://siblec.ru/img/53/img/Image2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 descr="https://siblec.ru/img/53/img/Image202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 Тогда при </w:t>
      </w: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3988858A" wp14:editId="4577DEF7">
            <wp:extent cx="200025" cy="247650"/>
            <wp:effectExtent l="0" t="0" r="9525" b="0"/>
            <wp:docPr id="12" name="Picture 12" descr="https://siblec.ru/img/53/img/Image2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 descr="https://siblec.ru/img/53/img/Image200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=0 определяем нестабильность частоты выходного сигнала, вносимую одной ПРС:</w:t>
      </w:r>
    </w:p>
    <w:p w:rsidR="00A10BCB" w:rsidRPr="004904D1" w:rsidRDefault="00A10BCB" w:rsidP="00A10BCB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22B18FC9" wp14:editId="10E5D4A2">
            <wp:extent cx="1085850" cy="247650"/>
            <wp:effectExtent l="0" t="0" r="0" b="0"/>
            <wp:docPr id="13" name="Picture 13" descr="https://siblec.ru/img/53/img/Image20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 descr="https://siblec.ru/img/53/img/Image203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 (3.3)</w:t>
      </w:r>
    </w:p>
    <w:p w:rsidR="00A10BCB" w:rsidRPr="004904D1" w:rsidRDefault="00A10BCB" w:rsidP="00A10BCB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Значение </w:t>
      </w: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5C1B10AF" wp14:editId="155BEE81">
            <wp:extent cx="457200" cy="228600"/>
            <wp:effectExtent l="0" t="0" r="0" b="0"/>
            <wp:docPr id="14" name="Picture 14" descr="https://siblec.ru/img/53/img/Image2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 descr="https://siblec.ru/img/53/img/Image204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не должно превышать допустимого, определяемого по рекомендациям МККР.</w:t>
      </w:r>
    </w:p>
    <w:p w:rsidR="00A10BCB" w:rsidRPr="004904D1" w:rsidRDefault="00A10BCB" w:rsidP="00A10BCB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Структурная схема ПРС с общим гетеродинным трактом. В такой схеме вместо G1 и G2 к точкам a и b на рис. 3.1 подключают ГТ приемопередатчика (рис. 3.3). В его составе - G2, генератор сдвига G3, смеситель сдвига UZ и фильтр узкополосный полосовой (ФУП) Z. Генератор G3 дает колебания с частотой сдвига fСДВ. Из спектра колебаний, возникающих на выходе смесителя сдвига, ФУП выделяет колебания частотой f01=f02-fСДВна станциях типа НВ и частотой f01=f02+fСДВ на станциях типа ВН.</w:t>
      </w:r>
    </w:p>
    <w:p w:rsidR="00A10BCB" w:rsidRPr="004904D1" w:rsidRDefault="00A10BCB" w:rsidP="00A10BCB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anchor distT="0" distB="0" distL="114300" distR="114300" simplePos="0" relativeHeight="251661312" behindDoc="1" locked="0" layoutInCell="1" allowOverlap="1" wp14:anchorId="02D9980B" wp14:editId="70AA94EA">
            <wp:simplePos x="0" y="0"/>
            <wp:positionH relativeFrom="column">
              <wp:posOffset>-3810</wp:posOffset>
            </wp:positionH>
            <wp:positionV relativeFrom="paragraph">
              <wp:posOffset>-1905</wp:posOffset>
            </wp:positionV>
            <wp:extent cx="1439545" cy="1318895"/>
            <wp:effectExtent l="0" t="0" r="8255" b="0"/>
            <wp:wrapTight wrapText="bothSides">
              <wp:wrapPolygon edited="0">
                <wp:start x="0" y="0"/>
                <wp:lineTo x="0" y="21215"/>
                <wp:lineTo x="21438" y="21215"/>
                <wp:lineTo x="21438" y="0"/>
                <wp:lineTo x="0" y="0"/>
              </wp:wrapPolygon>
            </wp:wrapTight>
            <wp:docPr id="15" name="Picture 15" descr="Рисунок 3.3. Структурная схема гетеродинного тракта приёмопередатчи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 descr="Рисунок 3.3. Структурная схема гетеродинного тракта приёмопередатчика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9545" cy="1318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10BCB" w:rsidRPr="004904D1" w:rsidRDefault="00A10BCB" w:rsidP="00A10BCB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Рисунок 3.3. Структурная схема гетеродинного тракта приёмопередатчика</w:t>
      </w:r>
    </w:p>
    <w:p w:rsidR="00A10BCB" w:rsidRPr="004904D1" w:rsidRDefault="00A10BCB" w:rsidP="00A10BCB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В соответствии с преобразованиями частоты в схеме на выходе ПРС с расстановкой частот, приведенной на рис. 3.2,а, получается частота колебаний</w:t>
      </w:r>
    </w:p>
    <w:p w:rsidR="00A10BCB" w:rsidRPr="004904D1" w:rsidRDefault="00A10BCB" w:rsidP="00A10BCB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f2=f02-fПР=f02-(f01-f1)=f02-[(f02-fСДВ)-f1]=f1+fСДВ.</w:t>
      </w:r>
    </w:p>
    <w:p w:rsidR="00A10BCB" w:rsidRPr="004904D1" w:rsidRDefault="00A10BCB" w:rsidP="00A10BCB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Отклонение частоты на выходе ПРС от номинального значения </w:t>
      </w: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5B1FDAAE" wp14:editId="701537EC">
            <wp:extent cx="1304925" cy="304800"/>
            <wp:effectExtent l="0" t="0" r="9525" b="0"/>
            <wp:docPr id="16" name="Picture 16" descr="https://siblec.ru/img/53/img/Image2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 descr="https://siblec.ru/img/53/img/Image206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 и нестабильность частоты выходного сигнала, вносимая одной ПРС,</w:t>
      </w:r>
    </w:p>
    <w:p w:rsidR="00A10BCB" w:rsidRPr="004904D1" w:rsidRDefault="00A10BCB" w:rsidP="00A10BCB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790F5C75" wp14:editId="5D5ADAEE">
            <wp:extent cx="962025" cy="238125"/>
            <wp:effectExtent l="0" t="0" r="9525" b="9525"/>
            <wp:docPr id="17" name="Picture 17" descr="https://siblec.ru/img/53/img/Image20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 descr="https://siblec.ru/img/53/img/Image207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 (3.4)</w:t>
      </w:r>
    </w:p>
    <w:p w:rsidR="00A10BCB" w:rsidRPr="004904D1" w:rsidRDefault="00A10BCB" w:rsidP="00A10BCB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Нестабильность частоты G2 компенсируется в схеме и не влияет на стабильность частоты выходного сигнала ПРС. Однако она будет влиять на стабильность сигнала ПЧ на выходе приемника СВЧ и приводить к искажениям сигнала. С учетом этого фактора допустимая нестабильность частоты G2 в схеме рис. 3.3 ограничена. Ее значение примерно на порядок ниже, чем в схеме рис. 3.1.</w:t>
      </w:r>
    </w:p>
    <w:p w:rsidR="00A10BCB" w:rsidRPr="004904D1" w:rsidRDefault="00A10BCB" w:rsidP="00A10BCB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lastRenderedPageBreak/>
        <w:t>Сопоставление схем по требуемой стабильности генераторов. Полагая, что задано допустимое значение отклонения частоты на выходе ПРС </w:t>
      </w: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018DC1FE" wp14:editId="3657E578">
            <wp:extent cx="1038225" cy="238125"/>
            <wp:effectExtent l="0" t="0" r="9525" b="9525"/>
            <wp:docPr id="18" name="Picture 18" descr="https://siblec.ru/img/53/img/Image2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 descr="https://siblec.ru/img/53/img/Image208.gif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 из (3.3) и (3.4) определяем допустимые значения нестабильности частот G2 </w:t>
      </w: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650B0F46" wp14:editId="7455DE32">
            <wp:extent cx="1333500" cy="266700"/>
            <wp:effectExtent l="0" t="0" r="0" b="0"/>
            <wp:docPr id="19" name="Picture 19" descr="https://siblec.ru/img/53/img/Image20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 descr="https://siblec.ru/img/53/img/Image209.gif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 и генератора сдвига </w:t>
      </w: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1D3A2857" wp14:editId="5B2A54F7">
            <wp:extent cx="1200150" cy="238125"/>
            <wp:effectExtent l="0" t="0" r="0" b="9525"/>
            <wp:docPr id="20" name="Picture 20" descr="https://siblec.ru/img/53/img/Image2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 descr="https://siblec.ru/img/53/img/Image210.g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 Или можно считать </w:t>
      </w: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020A6CE3" wp14:editId="64FFFC2E">
            <wp:extent cx="1266825" cy="238125"/>
            <wp:effectExtent l="0" t="0" r="9525" b="9525"/>
            <wp:docPr id="21" name="Picture 21" descr="https://siblec.ru/img/53/img/Image2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 descr="https://siblec.ru/img/53/img/Image211.gif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 Генератор сдвига с требуемой допустимой нестабильностью частоты выполнить значительно проще, чем генератор СВЧ колебаний, так как частота первого на порядок ниже. Поэтому схема с генератором сдвига находила широкое применение в радиорелейных системах первого поколения, в которых для получения СВЧ колебаний использовали клистронные генераторы. В такой схеме Пр и П связаны общим гетеродинным трактом и превращаются в один приемопередатчик.</w:t>
      </w:r>
    </w:p>
    <w:p w:rsidR="00A10BCB" w:rsidRDefault="00A10BCB" w:rsidP="00A10BCB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С появлением варакторов СВЧ колебания стали получать путем умножения частоты задающего кварцевого генератора. Хотя ГТ, построенный на этой основе, и представляет собой сложное устройство, однако он обеспечивает требуемую высокую стабильность выходной частоты и выполняется полностью на полупроводниковых приборах. Поэтому схема с отдельными генераторами находит самое широкое применение в аппаратуре второго и третьего поколений. Эта схема удобна в эксплуатации, так как обеспечивает автономность работы приемника и передатчика.</w:t>
      </w:r>
    </w:p>
    <w:p w:rsidR="00A10BCB" w:rsidRPr="004904D1" w:rsidRDefault="00A10BCB" w:rsidP="00A10BCB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A10BCB" w:rsidRPr="004904D1" w:rsidRDefault="00A10BCB" w:rsidP="00A10BCB">
      <w:pPr>
        <w:pStyle w:val="NoSpacing"/>
        <w:rPr>
          <w:rStyle w:val="Strong"/>
          <w:rFonts w:ascii="Times New Roman" w:hAnsi="Times New Roman" w:cs="Times New Roman"/>
          <w:sz w:val="24"/>
          <w:szCs w:val="24"/>
        </w:rPr>
      </w:pPr>
      <w:bookmarkStart w:id="2" w:name="3.3"/>
      <w:bookmarkEnd w:id="2"/>
      <w:r w:rsidRPr="004904D1">
        <w:rPr>
          <w:rStyle w:val="Strong"/>
          <w:rFonts w:ascii="Times New Roman" w:hAnsi="Times New Roman" w:cs="Times New Roman"/>
          <w:sz w:val="24"/>
          <w:szCs w:val="24"/>
        </w:rPr>
        <w:t>3.3. Узловые и оконечные РРС аналоговых РРЛ</w:t>
      </w:r>
    </w:p>
    <w:p w:rsidR="00A10BCB" w:rsidRPr="004904D1" w:rsidRDefault="00A10BCB" w:rsidP="00A10BCB">
      <w:pPr>
        <w:pStyle w:val="NoSpacing"/>
        <w:ind w:firstLine="708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Структурные схемы станций. Как уже отмечалось, на всех РРС магистральных РРЛ устанавливают типовую приемопередающую СВЧ аппаратуру. Выполняют УРС по схеме рис. 3.1, в которой снимают перемычку между СВЧ приемником и передатчиком (ab). Вместо нее в ТФ стволе через аппаратуру резервирования подключают модем. В ТВ стволе обычно имеет место переприем и разветвление сигналов по ПЧ (см. рис. 1.2).</w:t>
      </w:r>
    </w:p>
    <w:p w:rsidR="00A10BCB" w:rsidRPr="004904D1" w:rsidRDefault="00A10BCB" w:rsidP="00A10BCB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anchor distT="0" distB="0" distL="114300" distR="114300" simplePos="0" relativeHeight="251662336" behindDoc="1" locked="0" layoutInCell="1" allowOverlap="1" wp14:anchorId="4B7A6800" wp14:editId="31F49913">
            <wp:simplePos x="0" y="0"/>
            <wp:positionH relativeFrom="column">
              <wp:posOffset>-3810</wp:posOffset>
            </wp:positionH>
            <wp:positionV relativeFrom="paragraph">
              <wp:posOffset>-3810</wp:posOffset>
            </wp:positionV>
            <wp:extent cx="3599815" cy="2009140"/>
            <wp:effectExtent l="0" t="0" r="635" b="0"/>
            <wp:wrapTight wrapText="bothSides">
              <wp:wrapPolygon edited="0">
                <wp:start x="0" y="0"/>
                <wp:lineTo x="0" y="21300"/>
                <wp:lineTo x="21490" y="21300"/>
                <wp:lineTo x="21490" y="0"/>
                <wp:lineTo x="0" y="0"/>
              </wp:wrapPolygon>
            </wp:wrapTight>
            <wp:docPr id="22" name="Picture 22" descr="Рисунок 3.4. Структурная схема трёхствольной ОРС с поучастковым резервирование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 descr="Рисунок 3.4. Структурная схема трёхствольной ОРС с поучастковым резервированием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200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10BCB" w:rsidRPr="004904D1" w:rsidRDefault="00A10BCB" w:rsidP="00A10BCB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Рисунок 3.4. Структурная схема трёхствольной ОРС с поучастковым резервированием</w:t>
      </w:r>
    </w:p>
    <w:p w:rsidR="00A10BCB" w:rsidRPr="004904D1" w:rsidRDefault="00A10BCB" w:rsidP="00A10BCB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На ОРС (рис. 3.4) для приема и передачи сигналов в разных направлениях связи служит общая антенна WA. Приемники СВЧ (Пр1, ...,ПрЗ) и передатчики СВЧ (П1, ..., ПЗ) построены по тем же структурным схемам, что и на рис. 3.1, К точкам а и b (ср. с рис. 3.1) через аппаратуру резервирования подключен модем. В ТФ стволе работают Пр1 и П1, в ТВ стволе - Пр2 и П2, в резервном - ПрЗ и ПЗ. Модем имеет входы (11,12)и гарантированные выходы (9, 10)- по ПЧ, а также входы для сигналов МТС (1), служебной связи (СС) (2), ПТВС (3) и СЗС (4) и соответствующие выходы 5, 6, 7, 8 для этих сигналов. В составе модема показаны оконечные устройства ТФ ствола: приемное ОТФПр и передающее ОТФП, оконечные устройства ТВ ствола: приемное ОТВПр и передающее ОТВП, ЧМД и ЧД.</w:t>
      </w:r>
    </w:p>
    <w:p w:rsidR="00A10BCB" w:rsidRPr="004904D1" w:rsidRDefault="00A10BCB" w:rsidP="00A10BCB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 xml:space="preserve">Оконечные устройства передающие служат для формирования ГС ствола из сигналов, поступающих на его входы по СЛ, а также для согласования входов 1, 2, 3, 4 модема с СЛ. Оконечные устройства приемные разделяют ГС ствола на 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lastRenderedPageBreak/>
        <w:t>составляющие сигналы и согласуют выходы 5, 6, 7, 8 модема с СЛ. На выходе ЧМД получают колебания ПЧ, модулированные по частоте ГС ствола. На рис. 3.4 для ТВ ствола указаны верхние частоты первичных электрических сигналов и средние частоты ЧМ сигнала в разных точках схемы ОРС магистральной РРЛ, работающей в диапазоне 4 ГГц. На приеме ЧД демодулирует сигнал ПЧ, поступающий на его вход.</w:t>
      </w:r>
    </w:p>
    <w:p w:rsidR="00A10BCB" w:rsidRDefault="00A10BCB" w:rsidP="00A10BCB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В ТФ и ТВ стволах используют одинаковые ЧМД, а также ЧД. Таким образом, в схеме ОРС для различных стволов оказываются разными только оконечные устройства. На ОРС и УРС устанавливают одинаковые модемы.</w:t>
      </w:r>
    </w:p>
    <w:p w:rsidR="00A10BCB" w:rsidRPr="00680000" w:rsidRDefault="00A10BCB" w:rsidP="00A10BCB">
      <w:pPr>
        <w:pStyle w:val="NoSpacing"/>
        <w:rPr>
          <w:b/>
        </w:rPr>
      </w:pPr>
      <w:r w:rsidRPr="00680000">
        <w:rPr>
          <w:b/>
        </w:rPr>
        <w:t>Вопросы для самоконтроля</w:t>
      </w:r>
    </w:p>
    <w:p w:rsidR="00A10BCB" w:rsidRPr="00680000" w:rsidRDefault="00A10BCB" w:rsidP="00A10BCB">
      <w:pPr>
        <w:pStyle w:val="NoSpacing"/>
      </w:pPr>
      <w:r w:rsidRPr="00680000">
        <w:t>Назовите состав оборудования радиорелейных систем различного назначения.</w:t>
      </w:r>
    </w:p>
    <w:p w:rsidR="00A10BCB" w:rsidRPr="00680000" w:rsidRDefault="00A10BCB" w:rsidP="00A10BCB">
      <w:pPr>
        <w:pStyle w:val="NoSpacing"/>
      </w:pPr>
      <w:r w:rsidRPr="00680000">
        <w:t>Назовите типы схем ПРС. Поясните назначение элементов ПРС.</w:t>
      </w:r>
    </w:p>
    <w:p w:rsidR="00A10BCB" w:rsidRPr="00680000" w:rsidRDefault="00A10BCB" w:rsidP="00A10BCB">
      <w:pPr>
        <w:pStyle w:val="NoSpacing"/>
      </w:pPr>
      <w:r w:rsidRPr="00680000">
        <w:t>Поясните, в чём отличие схемы УРС(ОРС) от схемы ПРС.</w:t>
      </w:r>
    </w:p>
    <w:p w:rsidR="00007597" w:rsidRPr="006B29F1" w:rsidRDefault="00A10BCB" w:rsidP="006B29F1">
      <w:bookmarkStart w:id="3" w:name="_GoBack"/>
      <w:bookmarkEnd w:id="3"/>
    </w:p>
    <w:sectPr w:rsidR="00007597" w:rsidRPr="006B29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121B"/>
    <w:rsid w:val="00315C2D"/>
    <w:rsid w:val="0050121B"/>
    <w:rsid w:val="006B29F1"/>
    <w:rsid w:val="00A10BCB"/>
    <w:rsid w:val="00C22874"/>
    <w:rsid w:val="00C76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69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769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69B3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A10BCB"/>
    <w:rPr>
      <w:b/>
      <w:bCs/>
    </w:rPr>
  </w:style>
  <w:style w:type="paragraph" w:styleId="NoSpacing">
    <w:name w:val="No Spacing"/>
    <w:uiPriority w:val="1"/>
    <w:qFormat/>
    <w:rsid w:val="00A10BC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69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769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69B3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A10BCB"/>
    <w:rPr>
      <w:b/>
      <w:bCs/>
    </w:rPr>
  </w:style>
  <w:style w:type="paragraph" w:styleId="NoSpacing">
    <w:name w:val="No Spacing"/>
    <w:uiPriority w:val="1"/>
    <w:qFormat/>
    <w:rsid w:val="00A10BC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image" Target="media/image6.gif"/><Relationship Id="rId18" Type="http://schemas.openxmlformats.org/officeDocument/2006/relationships/image" Target="media/image11.gif"/><Relationship Id="rId26" Type="http://schemas.openxmlformats.org/officeDocument/2006/relationships/image" Target="media/image19.gif"/><Relationship Id="rId3" Type="http://schemas.openxmlformats.org/officeDocument/2006/relationships/settings" Target="settings.xml"/><Relationship Id="rId21" Type="http://schemas.openxmlformats.org/officeDocument/2006/relationships/image" Target="media/image14.gif"/><Relationship Id="rId7" Type="http://schemas.openxmlformats.org/officeDocument/2006/relationships/hyperlink" Target="https://siblec.ru/telekommunikatsii/sputnikovye-i-radiorelejnye-sistemy-peredachi/3-strukturnye-skhemy-radiorelejnykh-stantsij" TargetMode="External"/><Relationship Id="rId12" Type="http://schemas.openxmlformats.org/officeDocument/2006/relationships/image" Target="media/image5.gif"/><Relationship Id="rId17" Type="http://schemas.openxmlformats.org/officeDocument/2006/relationships/image" Target="media/image10.gif"/><Relationship Id="rId25" Type="http://schemas.openxmlformats.org/officeDocument/2006/relationships/image" Target="media/image18.gif"/><Relationship Id="rId2" Type="http://schemas.microsoft.com/office/2007/relationships/stylesWithEffects" Target="stylesWithEffects.xml"/><Relationship Id="rId16" Type="http://schemas.openxmlformats.org/officeDocument/2006/relationships/image" Target="media/image9.gif"/><Relationship Id="rId20" Type="http://schemas.openxmlformats.org/officeDocument/2006/relationships/image" Target="media/image13.gif"/><Relationship Id="rId1" Type="http://schemas.openxmlformats.org/officeDocument/2006/relationships/styles" Target="styles.xml"/><Relationship Id="rId6" Type="http://schemas.openxmlformats.org/officeDocument/2006/relationships/hyperlink" Target="https://siblec.ru/telekommunikatsii/sputnikovye-i-radiorelejnye-sistemy-peredachi/3-strukturnye-skhemy-radiorelejnykh-stantsij" TargetMode="External"/><Relationship Id="rId11" Type="http://schemas.openxmlformats.org/officeDocument/2006/relationships/image" Target="media/image4.gif"/><Relationship Id="rId24" Type="http://schemas.openxmlformats.org/officeDocument/2006/relationships/image" Target="media/image17.gif"/><Relationship Id="rId5" Type="http://schemas.openxmlformats.org/officeDocument/2006/relationships/hyperlink" Target="https://siblec.ru/telekommunikatsii/sputnikovye-i-radiorelejnye-sistemy-peredachi/3-strukturnye-skhemy-radiorelejnykh-stantsij" TargetMode="External"/><Relationship Id="rId15" Type="http://schemas.openxmlformats.org/officeDocument/2006/relationships/image" Target="media/image8.gif"/><Relationship Id="rId23" Type="http://schemas.openxmlformats.org/officeDocument/2006/relationships/image" Target="media/image16.gif"/><Relationship Id="rId28" Type="http://schemas.openxmlformats.org/officeDocument/2006/relationships/theme" Target="theme/theme1.xml"/><Relationship Id="rId10" Type="http://schemas.openxmlformats.org/officeDocument/2006/relationships/image" Target="media/image3.gif"/><Relationship Id="rId19" Type="http://schemas.openxmlformats.org/officeDocument/2006/relationships/image" Target="media/image12.gif"/><Relationship Id="rId4" Type="http://schemas.openxmlformats.org/officeDocument/2006/relationships/webSettings" Target="webSettings.xml"/><Relationship Id="rId9" Type="http://schemas.openxmlformats.org/officeDocument/2006/relationships/image" Target="media/image2.gif"/><Relationship Id="rId14" Type="http://schemas.openxmlformats.org/officeDocument/2006/relationships/image" Target="media/image7.gif"/><Relationship Id="rId22" Type="http://schemas.openxmlformats.org/officeDocument/2006/relationships/image" Target="media/image15.gif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1804</Words>
  <Characters>10286</Characters>
  <Application>Microsoft Office Word</Application>
  <DocSecurity>0</DocSecurity>
  <Lines>85</Lines>
  <Paragraphs>24</Paragraphs>
  <ScaleCrop>false</ScaleCrop>
  <Company/>
  <LinksUpToDate>false</LinksUpToDate>
  <CharactersWithSpaces>12066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4</cp:revision>
  <dcterms:created xsi:type="dcterms:W3CDTF">2020-09-02T14:09:00Z</dcterms:created>
  <dcterms:modified xsi:type="dcterms:W3CDTF">2020-09-02T16:49:00Z</dcterms:modified>
</cp:coreProperties>
</file>